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0C" w:rsidRPr="00160117" w:rsidRDefault="004702FD">
      <w:pPr>
        <w:rPr>
          <w:rFonts w:ascii="Arial" w:hAnsi="Arial" w:cs="Arial"/>
          <w:sz w:val="24"/>
          <w:szCs w:val="24"/>
        </w:rPr>
      </w:pPr>
      <w:r w:rsidRPr="00160117">
        <w:rPr>
          <w:rFonts w:ascii="Arial" w:hAnsi="Arial" w:cs="Arial"/>
          <w:sz w:val="24"/>
          <w:szCs w:val="24"/>
        </w:rPr>
        <w:t xml:space="preserve">León, Guanajuato a 11 días del mes de </w:t>
      </w:r>
      <w:r w:rsidR="00A27A12" w:rsidRPr="00160117">
        <w:rPr>
          <w:rFonts w:ascii="Arial" w:hAnsi="Arial" w:cs="Arial"/>
          <w:sz w:val="24"/>
          <w:szCs w:val="24"/>
        </w:rPr>
        <w:t>enero</w:t>
      </w:r>
      <w:r w:rsidRPr="00160117">
        <w:rPr>
          <w:rFonts w:ascii="Arial" w:hAnsi="Arial" w:cs="Arial"/>
          <w:sz w:val="24"/>
          <w:szCs w:val="24"/>
        </w:rPr>
        <w:t xml:space="preserve"> 2018.</w:t>
      </w:r>
    </w:p>
    <w:p w:rsidR="004702FD" w:rsidRPr="00160117" w:rsidRDefault="004702FD">
      <w:pPr>
        <w:rPr>
          <w:rFonts w:ascii="Arial" w:hAnsi="Arial" w:cs="Arial"/>
          <w:sz w:val="24"/>
          <w:szCs w:val="24"/>
        </w:rPr>
      </w:pPr>
    </w:p>
    <w:p w:rsidR="004702FD" w:rsidRPr="00160117" w:rsidRDefault="004702FD" w:rsidP="00A27A12">
      <w:pPr>
        <w:jc w:val="both"/>
        <w:rPr>
          <w:rFonts w:ascii="Arial" w:hAnsi="Arial" w:cs="Arial"/>
          <w:sz w:val="24"/>
          <w:szCs w:val="24"/>
        </w:rPr>
      </w:pPr>
      <w:r w:rsidRPr="00160117">
        <w:rPr>
          <w:rFonts w:ascii="Arial" w:hAnsi="Arial" w:cs="Arial"/>
          <w:sz w:val="24"/>
          <w:szCs w:val="24"/>
        </w:rPr>
        <w:t>Por este medio me permito hacer de su conocimiento, información referente a la facturación electrónica en su versión 3.3., así como el complemento electrónico de pago.</w:t>
      </w:r>
    </w:p>
    <w:p w:rsidR="004702FD" w:rsidRPr="00160117" w:rsidRDefault="004702FD" w:rsidP="00A27A12">
      <w:pPr>
        <w:jc w:val="both"/>
        <w:rPr>
          <w:rFonts w:ascii="Arial" w:hAnsi="Arial" w:cs="Arial"/>
          <w:sz w:val="24"/>
          <w:szCs w:val="24"/>
        </w:rPr>
      </w:pPr>
      <w:r w:rsidRPr="00160117">
        <w:rPr>
          <w:rFonts w:ascii="Arial" w:hAnsi="Arial" w:cs="Arial"/>
          <w:sz w:val="24"/>
          <w:szCs w:val="24"/>
        </w:rPr>
        <w:t>El 1 de julio de 2017 entró en vigor la versión 3.3 de la factura, a partir del 1 de enero esta es la única versión valida.</w:t>
      </w:r>
      <w:bookmarkStart w:id="0" w:name="_GoBack"/>
      <w:bookmarkEnd w:id="0"/>
    </w:p>
    <w:p w:rsidR="004702FD" w:rsidRPr="00160117" w:rsidRDefault="004702FD" w:rsidP="00A27A12">
      <w:pPr>
        <w:spacing w:after="0" w:line="240" w:lineRule="auto"/>
        <w:jc w:val="both"/>
        <w:rPr>
          <w:rFonts w:ascii="Arial" w:hAnsi="Arial" w:cs="Arial"/>
          <w:sz w:val="24"/>
          <w:szCs w:val="24"/>
        </w:rPr>
      </w:pPr>
      <w:r w:rsidRPr="00160117">
        <w:rPr>
          <w:rFonts w:ascii="Arial" w:hAnsi="Arial" w:cs="Arial"/>
          <w:sz w:val="24"/>
          <w:szCs w:val="24"/>
        </w:rPr>
        <w:t xml:space="preserve">El artículo 29 A del Código Fiscal de la Federación (CFF) establece los requisitos que deben de contener los Comprobantes Fiscales Digitales por Internet (CFDI), en relación con lo establecido en el artículo 29, fracción VI del citado Código, dichos comprobantes deben de cumplir con las   especificaciones que en materia de informática que </w:t>
      </w:r>
      <w:r w:rsidR="00A27A12" w:rsidRPr="00160117">
        <w:rPr>
          <w:rFonts w:ascii="Arial" w:hAnsi="Arial" w:cs="Arial"/>
          <w:sz w:val="24"/>
          <w:szCs w:val="24"/>
        </w:rPr>
        <w:t>determiné</w:t>
      </w:r>
      <w:r w:rsidRPr="00160117">
        <w:rPr>
          <w:rFonts w:ascii="Arial" w:hAnsi="Arial" w:cs="Arial"/>
          <w:sz w:val="24"/>
          <w:szCs w:val="24"/>
        </w:rPr>
        <w:t xml:space="preserve"> el Servicio de Administración Tributaria (SAT), mediante reglas de carácter general.</w:t>
      </w:r>
    </w:p>
    <w:p w:rsidR="004702FD" w:rsidRPr="00160117" w:rsidRDefault="004702FD" w:rsidP="00A27A12">
      <w:pPr>
        <w:spacing w:after="0" w:line="240" w:lineRule="auto"/>
        <w:jc w:val="both"/>
        <w:rPr>
          <w:rFonts w:ascii="Arial" w:hAnsi="Arial" w:cs="Arial"/>
          <w:sz w:val="24"/>
          <w:szCs w:val="24"/>
        </w:rPr>
      </w:pPr>
    </w:p>
    <w:p w:rsidR="004702FD" w:rsidRPr="00160117" w:rsidRDefault="004702FD" w:rsidP="00A27A12">
      <w:pPr>
        <w:spacing w:after="0" w:line="240" w:lineRule="auto"/>
        <w:jc w:val="both"/>
        <w:rPr>
          <w:rFonts w:ascii="Arial" w:hAnsi="Arial" w:cs="Arial"/>
          <w:sz w:val="24"/>
          <w:szCs w:val="24"/>
        </w:rPr>
      </w:pPr>
      <w:r w:rsidRPr="00160117">
        <w:rPr>
          <w:rFonts w:ascii="Arial" w:hAnsi="Arial" w:cs="Arial"/>
          <w:sz w:val="24"/>
          <w:szCs w:val="24"/>
        </w:rPr>
        <w:t xml:space="preserve">De acuerdo a lo anterior, los únicos métodos de pago serán </w:t>
      </w:r>
      <w:r w:rsidR="001077AA" w:rsidRPr="00160117">
        <w:rPr>
          <w:rFonts w:ascii="Arial" w:hAnsi="Arial" w:cs="Arial"/>
          <w:sz w:val="24"/>
          <w:szCs w:val="24"/>
        </w:rPr>
        <w:t>PPD y PUE.</w:t>
      </w:r>
    </w:p>
    <w:p w:rsidR="001077AA" w:rsidRPr="00160117" w:rsidRDefault="00A27A12" w:rsidP="00A27A12">
      <w:pPr>
        <w:spacing w:after="0" w:line="240" w:lineRule="auto"/>
        <w:jc w:val="both"/>
        <w:rPr>
          <w:rFonts w:ascii="Arial" w:hAnsi="Arial" w:cs="Arial"/>
          <w:sz w:val="24"/>
          <w:szCs w:val="24"/>
        </w:rPr>
      </w:pPr>
      <w:r w:rsidRPr="00160117">
        <w:rPr>
          <w:rFonts w:ascii="Arial" w:hAnsi="Arial" w:cs="Arial"/>
          <w:sz w:val="24"/>
          <w:szCs w:val="24"/>
        </w:rPr>
        <w:t>PUE. -</w:t>
      </w:r>
      <w:r w:rsidR="001077AA" w:rsidRPr="00160117">
        <w:rPr>
          <w:rFonts w:ascii="Arial" w:hAnsi="Arial" w:cs="Arial"/>
          <w:sz w:val="24"/>
          <w:szCs w:val="24"/>
        </w:rPr>
        <w:t xml:space="preserve"> Cuando se realice dicho pago al momento de emitir el comprobante</w:t>
      </w:r>
    </w:p>
    <w:p w:rsidR="004702FD" w:rsidRPr="00160117" w:rsidRDefault="00A27A12" w:rsidP="00A27A12">
      <w:pPr>
        <w:jc w:val="both"/>
        <w:rPr>
          <w:rFonts w:ascii="Arial" w:hAnsi="Arial" w:cs="Arial"/>
          <w:sz w:val="24"/>
          <w:szCs w:val="24"/>
        </w:rPr>
      </w:pPr>
      <w:r w:rsidRPr="00160117">
        <w:rPr>
          <w:rFonts w:ascii="Arial" w:hAnsi="Arial" w:cs="Arial"/>
          <w:sz w:val="24"/>
          <w:szCs w:val="24"/>
        </w:rPr>
        <w:t>PPD. -</w:t>
      </w:r>
      <w:r w:rsidR="001077AA" w:rsidRPr="00160117">
        <w:rPr>
          <w:rFonts w:ascii="Arial" w:hAnsi="Arial" w:cs="Arial"/>
          <w:sz w:val="24"/>
          <w:szCs w:val="24"/>
        </w:rPr>
        <w:t xml:space="preserve"> Cuando se emita el comprobante de la operación y con posterioridad se vaya a liquidar en un solo pago el saldo total o en varias parcialidades. En </w:t>
      </w:r>
      <w:r w:rsidR="00883D6B" w:rsidRPr="00160117">
        <w:rPr>
          <w:rFonts w:ascii="Arial" w:hAnsi="Arial" w:cs="Arial"/>
          <w:sz w:val="24"/>
          <w:szCs w:val="24"/>
        </w:rPr>
        <w:t>este caso se deberá de emitir comprobante por el complemento para la recepción de pago por cada parcialidad.</w:t>
      </w:r>
    </w:p>
    <w:p w:rsidR="00A27A12" w:rsidRPr="00160117" w:rsidRDefault="00A27A12" w:rsidP="00A27A12">
      <w:pPr>
        <w:jc w:val="both"/>
        <w:rPr>
          <w:rFonts w:ascii="Arial" w:hAnsi="Arial" w:cs="Arial"/>
          <w:sz w:val="24"/>
          <w:szCs w:val="24"/>
        </w:rPr>
      </w:pPr>
      <w:r w:rsidRPr="00160117">
        <w:rPr>
          <w:rFonts w:ascii="Arial" w:hAnsi="Arial" w:cs="Arial"/>
          <w:sz w:val="24"/>
          <w:szCs w:val="24"/>
        </w:rPr>
        <w:t xml:space="preserve">Sin </w:t>
      </w:r>
      <w:r w:rsidR="00160117" w:rsidRPr="00160117">
        <w:rPr>
          <w:rFonts w:ascii="Arial" w:hAnsi="Arial" w:cs="Arial"/>
          <w:sz w:val="24"/>
          <w:szCs w:val="24"/>
        </w:rPr>
        <w:t>embargo,</w:t>
      </w:r>
      <w:r w:rsidRPr="00160117">
        <w:rPr>
          <w:rFonts w:ascii="Arial" w:hAnsi="Arial" w:cs="Arial"/>
          <w:sz w:val="24"/>
          <w:szCs w:val="24"/>
        </w:rPr>
        <w:t xml:space="preserve"> </w:t>
      </w:r>
      <w:r w:rsidR="00160117" w:rsidRPr="00160117">
        <w:rPr>
          <w:rFonts w:ascii="Arial" w:hAnsi="Arial" w:cs="Arial"/>
          <w:sz w:val="24"/>
          <w:szCs w:val="24"/>
        </w:rPr>
        <w:t>existe</w:t>
      </w:r>
      <w:r w:rsidRPr="00160117">
        <w:rPr>
          <w:rFonts w:ascii="Arial" w:hAnsi="Arial" w:cs="Arial"/>
          <w:sz w:val="24"/>
          <w:szCs w:val="24"/>
        </w:rPr>
        <w:t xml:space="preserve"> la facilidad de poder emitir</w:t>
      </w:r>
      <w:r w:rsidR="00160117" w:rsidRPr="00160117">
        <w:rPr>
          <w:rFonts w:ascii="Arial" w:hAnsi="Arial" w:cs="Arial"/>
          <w:sz w:val="24"/>
          <w:szCs w:val="24"/>
        </w:rPr>
        <w:t xml:space="preserve"> el documento desde su elaboración aun cuando este no se encuentre pagado en su totalidad, según se enuncia a continuación.</w:t>
      </w:r>
    </w:p>
    <w:p w:rsidR="00160117" w:rsidRPr="00160117" w:rsidRDefault="00160117" w:rsidP="00160117">
      <w:pPr>
        <w:jc w:val="both"/>
        <w:rPr>
          <w:rFonts w:ascii="Arial" w:hAnsi="Arial" w:cs="Arial"/>
          <w:sz w:val="24"/>
          <w:szCs w:val="24"/>
        </w:rPr>
      </w:pPr>
      <w:r w:rsidRPr="00160117">
        <w:rPr>
          <w:rFonts w:ascii="Arial" w:hAnsi="Arial" w:cs="Arial"/>
          <w:sz w:val="24"/>
          <w:szCs w:val="24"/>
        </w:rPr>
        <w:t>Para efectos de lo dispuesto por los artículos 29, párrafos primero, segundo, fracción VI y penúltimo, 29-A, primer párrafo, fracción VII, inciso b) del CFF, y las reglas 2.7.1.32., fracción II y 2.7.1.35., los contribuyentes que no reciban el pago del monto total del CFDI al momento de su expedición, podrán considerarlas como pagadas en una sola exhibición para efectos de la facturación, siempre que:</w:t>
      </w:r>
    </w:p>
    <w:p w:rsidR="00160117" w:rsidRPr="00160117" w:rsidRDefault="00160117" w:rsidP="00160117">
      <w:pPr>
        <w:jc w:val="both"/>
        <w:rPr>
          <w:rFonts w:ascii="Arial" w:hAnsi="Arial" w:cs="Arial"/>
          <w:sz w:val="24"/>
          <w:szCs w:val="24"/>
        </w:rPr>
      </w:pPr>
      <w:r w:rsidRPr="00160117">
        <w:rPr>
          <w:rFonts w:ascii="Arial" w:hAnsi="Arial" w:cs="Arial"/>
          <w:sz w:val="24"/>
          <w:szCs w:val="24"/>
        </w:rPr>
        <w:t xml:space="preserve"> </w:t>
      </w:r>
    </w:p>
    <w:p w:rsidR="00160117" w:rsidRPr="00160117" w:rsidRDefault="00160117" w:rsidP="00160117">
      <w:pPr>
        <w:jc w:val="both"/>
        <w:rPr>
          <w:rFonts w:ascii="Arial" w:hAnsi="Arial" w:cs="Arial"/>
          <w:sz w:val="24"/>
          <w:szCs w:val="24"/>
        </w:rPr>
      </w:pPr>
      <w:r w:rsidRPr="00160117">
        <w:rPr>
          <w:rFonts w:ascii="Arial" w:hAnsi="Arial" w:cs="Arial"/>
          <w:sz w:val="24"/>
          <w:szCs w:val="24"/>
        </w:rPr>
        <w:t>I.          Se haya pactado o se estime que el monto total que ampare el comprobante se recibirá a más tardar el día 17 del mes de calendario inmediato posterior a aquél en el cual se expidió el CFDI.</w:t>
      </w:r>
    </w:p>
    <w:p w:rsidR="00160117" w:rsidRPr="00160117" w:rsidRDefault="00160117" w:rsidP="00160117">
      <w:pPr>
        <w:jc w:val="both"/>
        <w:rPr>
          <w:rFonts w:ascii="Arial" w:hAnsi="Arial" w:cs="Arial"/>
          <w:sz w:val="24"/>
          <w:szCs w:val="24"/>
        </w:rPr>
      </w:pPr>
      <w:r w:rsidRPr="00160117">
        <w:rPr>
          <w:rFonts w:ascii="Arial" w:hAnsi="Arial" w:cs="Arial"/>
          <w:sz w:val="24"/>
          <w:szCs w:val="24"/>
        </w:rPr>
        <w:t xml:space="preserve"> </w:t>
      </w:r>
    </w:p>
    <w:p w:rsidR="00160117" w:rsidRPr="00160117" w:rsidRDefault="00160117" w:rsidP="00160117">
      <w:pPr>
        <w:jc w:val="both"/>
        <w:rPr>
          <w:rFonts w:ascii="Arial" w:hAnsi="Arial" w:cs="Arial"/>
          <w:sz w:val="24"/>
          <w:szCs w:val="24"/>
        </w:rPr>
      </w:pPr>
      <w:r w:rsidRPr="00160117">
        <w:rPr>
          <w:rFonts w:ascii="Arial" w:hAnsi="Arial" w:cs="Arial"/>
          <w:sz w:val="24"/>
          <w:szCs w:val="24"/>
        </w:rPr>
        <w:t>II.         Señalen en el CFDI como método de pago “PUE” (Pago en una sola exhibición) y cuál será la forma en que se recibirá dicho pago.</w:t>
      </w:r>
    </w:p>
    <w:p w:rsidR="00160117" w:rsidRPr="00160117" w:rsidRDefault="00160117" w:rsidP="00160117">
      <w:pPr>
        <w:jc w:val="both"/>
        <w:rPr>
          <w:rFonts w:ascii="Arial" w:hAnsi="Arial" w:cs="Arial"/>
          <w:sz w:val="24"/>
          <w:szCs w:val="24"/>
        </w:rPr>
      </w:pPr>
      <w:r w:rsidRPr="00160117">
        <w:rPr>
          <w:rFonts w:ascii="Arial" w:hAnsi="Arial" w:cs="Arial"/>
          <w:sz w:val="24"/>
          <w:szCs w:val="24"/>
        </w:rPr>
        <w:t xml:space="preserve"> </w:t>
      </w:r>
    </w:p>
    <w:p w:rsidR="00160117" w:rsidRPr="00160117" w:rsidRDefault="00160117" w:rsidP="00160117">
      <w:pPr>
        <w:jc w:val="both"/>
        <w:rPr>
          <w:rFonts w:ascii="Arial" w:hAnsi="Arial" w:cs="Arial"/>
          <w:sz w:val="24"/>
          <w:szCs w:val="24"/>
        </w:rPr>
      </w:pPr>
      <w:r w:rsidRPr="00160117">
        <w:rPr>
          <w:rFonts w:ascii="Arial" w:hAnsi="Arial" w:cs="Arial"/>
          <w:sz w:val="24"/>
          <w:szCs w:val="24"/>
        </w:rPr>
        <w:lastRenderedPageBreak/>
        <w:t>III.        Se realice efectivamente el pago de la totalidad de la contraprestación a más tardar en el plazo señalado en la fracción I de esta regla.</w:t>
      </w:r>
    </w:p>
    <w:p w:rsidR="00160117" w:rsidRPr="00160117" w:rsidRDefault="00160117" w:rsidP="00160117">
      <w:pPr>
        <w:jc w:val="both"/>
        <w:rPr>
          <w:rFonts w:ascii="Arial" w:hAnsi="Arial" w:cs="Arial"/>
          <w:sz w:val="24"/>
          <w:szCs w:val="24"/>
        </w:rPr>
      </w:pPr>
      <w:r w:rsidRPr="00160117">
        <w:rPr>
          <w:rFonts w:ascii="Arial" w:hAnsi="Arial" w:cs="Arial"/>
          <w:sz w:val="24"/>
          <w:szCs w:val="24"/>
        </w:rPr>
        <w:t xml:space="preserve">                            </w:t>
      </w:r>
    </w:p>
    <w:p w:rsidR="00160117" w:rsidRPr="00160117" w:rsidRDefault="00160117" w:rsidP="00160117">
      <w:pPr>
        <w:jc w:val="both"/>
        <w:rPr>
          <w:rFonts w:ascii="Arial" w:hAnsi="Arial" w:cs="Arial"/>
          <w:sz w:val="24"/>
          <w:szCs w:val="24"/>
        </w:rPr>
      </w:pPr>
      <w:r w:rsidRPr="00160117">
        <w:rPr>
          <w:rFonts w:ascii="Arial" w:hAnsi="Arial" w:cs="Arial"/>
          <w:sz w:val="24"/>
          <w:szCs w:val="24"/>
        </w:rPr>
        <w:t xml:space="preserve">Cuando el pago del monto total que ampare el comprobante se efectué entre el día primero y el 17 del mes de calendario inmediato posterior a aquél en que se expidió el CFDI, el </w:t>
      </w:r>
      <w:proofErr w:type="spellStart"/>
      <w:r w:rsidRPr="00160117">
        <w:rPr>
          <w:rFonts w:ascii="Arial" w:hAnsi="Arial" w:cs="Arial"/>
          <w:sz w:val="24"/>
          <w:szCs w:val="24"/>
        </w:rPr>
        <w:t>acreditamiento</w:t>
      </w:r>
      <w:proofErr w:type="spellEnd"/>
      <w:r w:rsidRPr="00160117">
        <w:rPr>
          <w:rFonts w:ascii="Arial" w:hAnsi="Arial" w:cs="Arial"/>
          <w:sz w:val="24"/>
          <w:szCs w:val="24"/>
        </w:rPr>
        <w:t xml:space="preserve"> del IVA e IEPS, respectivamente, deberá realizarse por el receptor del CFDI en el mes en que el impuesto trasladado haya sido efectivamente pagado.</w:t>
      </w:r>
    </w:p>
    <w:p w:rsidR="00160117" w:rsidRPr="00160117" w:rsidRDefault="00160117" w:rsidP="00160117">
      <w:pPr>
        <w:jc w:val="both"/>
        <w:rPr>
          <w:rFonts w:ascii="Arial" w:hAnsi="Arial" w:cs="Arial"/>
          <w:sz w:val="24"/>
          <w:szCs w:val="24"/>
        </w:rPr>
      </w:pPr>
      <w:r w:rsidRPr="00160117">
        <w:rPr>
          <w:rFonts w:ascii="Arial" w:hAnsi="Arial" w:cs="Arial"/>
          <w:sz w:val="24"/>
          <w:szCs w:val="24"/>
        </w:rPr>
        <w:t xml:space="preserve">                            </w:t>
      </w:r>
    </w:p>
    <w:p w:rsidR="00160117" w:rsidRPr="00160117" w:rsidRDefault="00160117" w:rsidP="00160117">
      <w:pPr>
        <w:jc w:val="both"/>
        <w:rPr>
          <w:rFonts w:ascii="Arial" w:hAnsi="Arial" w:cs="Arial"/>
          <w:sz w:val="24"/>
          <w:szCs w:val="24"/>
        </w:rPr>
      </w:pPr>
      <w:r w:rsidRPr="00160117">
        <w:rPr>
          <w:rFonts w:ascii="Arial" w:hAnsi="Arial" w:cs="Arial"/>
          <w:sz w:val="24"/>
          <w:szCs w:val="24"/>
        </w:rPr>
        <w:t>En aquellos casos en que el pago se realice en una forma distinta a la que se señaló en el CFDI, el contribuyente cancelará el CFDI emitido por la operación y emitirá uno nuevo señalando como forma de pago la que efectivamente corresponda.</w:t>
      </w:r>
    </w:p>
    <w:p w:rsidR="00160117" w:rsidRPr="00160117" w:rsidRDefault="00160117" w:rsidP="00160117">
      <w:pPr>
        <w:jc w:val="both"/>
        <w:rPr>
          <w:rFonts w:ascii="Arial" w:hAnsi="Arial" w:cs="Arial"/>
          <w:sz w:val="24"/>
          <w:szCs w:val="24"/>
        </w:rPr>
      </w:pPr>
      <w:r w:rsidRPr="00160117">
        <w:rPr>
          <w:rFonts w:ascii="Arial" w:hAnsi="Arial" w:cs="Arial"/>
          <w:sz w:val="24"/>
          <w:szCs w:val="24"/>
        </w:rPr>
        <w:t xml:space="preserve">                            </w:t>
      </w:r>
    </w:p>
    <w:p w:rsidR="00160117" w:rsidRPr="00160117" w:rsidRDefault="00160117" w:rsidP="00160117">
      <w:pPr>
        <w:jc w:val="both"/>
        <w:rPr>
          <w:rFonts w:ascii="Arial" w:hAnsi="Arial" w:cs="Arial"/>
          <w:sz w:val="24"/>
          <w:szCs w:val="24"/>
        </w:rPr>
      </w:pPr>
      <w:r w:rsidRPr="00160117">
        <w:rPr>
          <w:rFonts w:ascii="Arial" w:hAnsi="Arial" w:cs="Arial"/>
          <w:sz w:val="24"/>
          <w:szCs w:val="24"/>
        </w:rPr>
        <w:t>En el caso de que la totalidad del pago de la operación que ampara el CFDI no se realice a más tardar el día 17 del mes de calendario inmediato posterior a aquél en el cual se expidió el CFDI, el contribuyente cancelará el CFDI emitido por la operación y emitirá uno nuevo señalando como forma de pago “99” por definir y como método de pago “PPD” pago en parcialidades o diferido, relacionando el nuevo CFDI con el emitido originalmente como “Sustitución de los CFDI previos”, debiendo adicionalmente emitir por el pago o los pagos que efectivamente le realicen, el CFDI con complemento para recepción de pagos que corresponda de conformidad con lo dispuesto por las reglas 2.7.1.32. y 2.7.1.35.</w:t>
      </w:r>
    </w:p>
    <w:p w:rsidR="00160117" w:rsidRPr="00160117" w:rsidRDefault="00160117" w:rsidP="00A27A12">
      <w:pPr>
        <w:jc w:val="both"/>
        <w:rPr>
          <w:rFonts w:ascii="Arial" w:hAnsi="Arial" w:cs="Arial"/>
          <w:sz w:val="24"/>
          <w:szCs w:val="24"/>
        </w:rPr>
      </w:pPr>
    </w:p>
    <w:p w:rsidR="00A27A12" w:rsidRPr="00160117" w:rsidRDefault="00A27A12" w:rsidP="00A27A12">
      <w:pPr>
        <w:jc w:val="both"/>
        <w:rPr>
          <w:rFonts w:ascii="Arial" w:hAnsi="Arial" w:cs="Arial"/>
          <w:sz w:val="24"/>
          <w:szCs w:val="24"/>
        </w:rPr>
      </w:pPr>
    </w:p>
    <w:p w:rsidR="00A27A12" w:rsidRPr="00160117" w:rsidRDefault="00A27A12" w:rsidP="00A27A12">
      <w:pPr>
        <w:jc w:val="both"/>
        <w:rPr>
          <w:rFonts w:ascii="Arial" w:hAnsi="Arial" w:cs="Arial"/>
          <w:sz w:val="24"/>
          <w:szCs w:val="24"/>
        </w:rPr>
      </w:pPr>
    </w:p>
    <w:p w:rsidR="00A27A12" w:rsidRPr="00160117" w:rsidRDefault="00A27A12" w:rsidP="00A27A12">
      <w:pPr>
        <w:jc w:val="both"/>
        <w:rPr>
          <w:rFonts w:ascii="Arial" w:hAnsi="Arial" w:cs="Arial"/>
          <w:sz w:val="24"/>
          <w:szCs w:val="24"/>
        </w:rPr>
      </w:pPr>
    </w:p>
    <w:p w:rsidR="00883D6B" w:rsidRPr="00160117" w:rsidRDefault="00883D6B" w:rsidP="00A27A12">
      <w:pPr>
        <w:jc w:val="both"/>
        <w:rPr>
          <w:rFonts w:ascii="Arial" w:hAnsi="Arial" w:cs="Arial"/>
          <w:sz w:val="24"/>
          <w:szCs w:val="24"/>
        </w:rPr>
      </w:pPr>
    </w:p>
    <w:p w:rsidR="00883D6B" w:rsidRPr="00160117" w:rsidRDefault="00883D6B" w:rsidP="004702FD">
      <w:pPr>
        <w:rPr>
          <w:rFonts w:ascii="Arial" w:hAnsi="Arial" w:cs="Arial"/>
          <w:sz w:val="24"/>
          <w:szCs w:val="24"/>
        </w:rPr>
      </w:pPr>
    </w:p>
    <w:p w:rsidR="004702FD" w:rsidRPr="00160117" w:rsidRDefault="004702FD">
      <w:pPr>
        <w:rPr>
          <w:rFonts w:ascii="Arial" w:hAnsi="Arial" w:cs="Arial"/>
          <w:sz w:val="24"/>
          <w:szCs w:val="24"/>
        </w:rPr>
      </w:pPr>
    </w:p>
    <w:p w:rsidR="004702FD" w:rsidRPr="00160117" w:rsidRDefault="004702FD">
      <w:pPr>
        <w:rPr>
          <w:rFonts w:ascii="Arial" w:hAnsi="Arial" w:cs="Arial"/>
          <w:sz w:val="24"/>
          <w:szCs w:val="24"/>
        </w:rPr>
      </w:pPr>
      <w:r w:rsidRPr="00160117">
        <w:rPr>
          <w:rFonts w:ascii="Arial" w:hAnsi="Arial" w:cs="Arial"/>
          <w:sz w:val="24"/>
          <w:szCs w:val="24"/>
        </w:rPr>
        <w:t xml:space="preserve">  </w:t>
      </w:r>
    </w:p>
    <w:sectPr w:rsidR="004702FD" w:rsidRPr="001601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5"/>
    <w:rsid w:val="001077AA"/>
    <w:rsid w:val="00160117"/>
    <w:rsid w:val="002F62F5"/>
    <w:rsid w:val="004702FD"/>
    <w:rsid w:val="00883D6B"/>
    <w:rsid w:val="00A27A12"/>
    <w:rsid w:val="00FF6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1DA4"/>
  <w15:chartTrackingRefBased/>
  <w15:docId w15:val="{4219AB72-7DEE-40B4-B128-8F54166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54653">
      <w:bodyDiv w:val="1"/>
      <w:marLeft w:val="0"/>
      <w:marRight w:val="0"/>
      <w:marTop w:val="0"/>
      <w:marBottom w:val="0"/>
      <w:divBdr>
        <w:top w:val="none" w:sz="0" w:space="0" w:color="auto"/>
        <w:left w:val="none" w:sz="0" w:space="0" w:color="auto"/>
        <w:bottom w:val="none" w:sz="0" w:space="0" w:color="auto"/>
        <w:right w:val="none" w:sz="0" w:space="0" w:color="auto"/>
      </w:divBdr>
      <w:divsChild>
        <w:div w:id="317656383">
          <w:marLeft w:val="0"/>
          <w:marRight w:val="0"/>
          <w:marTop w:val="0"/>
          <w:marBottom w:val="0"/>
          <w:divBdr>
            <w:top w:val="none" w:sz="0" w:space="0" w:color="auto"/>
            <w:left w:val="none" w:sz="0" w:space="0" w:color="auto"/>
            <w:bottom w:val="none" w:sz="0" w:space="0" w:color="auto"/>
            <w:right w:val="none" w:sz="0" w:space="0" w:color="auto"/>
          </w:divBdr>
        </w:div>
        <w:div w:id="680085504">
          <w:marLeft w:val="0"/>
          <w:marRight w:val="0"/>
          <w:marTop w:val="0"/>
          <w:marBottom w:val="0"/>
          <w:divBdr>
            <w:top w:val="none" w:sz="0" w:space="0" w:color="auto"/>
            <w:left w:val="none" w:sz="0" w:space="0" w:color="auto"/>
            <w:bottom w:val="none" w:sz="0" w:space="0" w:color="auto"/>
            <w:right w:val="none" w:sz="0" w:space="0" w:color="auto"/>
          </w:divBdr>
        </w:div>
        <w:div w:id="1213006931">
          <w:marLeft w:val="0"/>
          <w:marRight w:val="0"/>
          <w:marTop w:val="0"/>
          <w:marBottom w:val="0"/>
          <w:divBdr>
            <w:top w:val="none" w:sz="0" w:space="0" w:color="auto"/>
            <w:left w:val="none" w:sz="0" w:space="0" w:color="auto"/>
            <w:bottom w:val="none" w:sz="0" w:space="0" w:color="auto"/>
            <w:right w:val="none" w:sz="0" w:space="0" w:color="auto"/>
          </w:divBdr>
        </w:div>
        <w:div w:id="1659261398">
          <w:marLeft w:val="0"/>
          <w:marRight w:val="0"/>
          <w:marTop w:val="0"/>
          <w:marBottom w:val="0"/>
          <w:divBdr>
            <w:top w:val="none" w:sz="0" w:space="0" w:color="auto"/>
            <w:left w:val="none" w:sz="0" w:space="0" w:color="auto"/>
            <w:bottom w:val="none" w:sz="0" w:space="0" w:color="auto"/>
            <w:right w:val="none" w:sz="0" w:space="0" w:color="auto"/>
          </w:divBdr>
        </w:div>
        <w:div w:id="513109886">
          <w:marLeft w:val="0"/>
          <w:marRight w:val="0"/>
          <w:marTop w:val="0"/>
          <w:marBottom w:val="0"/>
          <w:divBdr>
            <w:top w:val="none" w:sz="0" w:space="0" w:color="auto"/>
            <w:left w:val="none" w:sz="0" w:space="0" w:color="auto"/>
            <w:bottom w:val="none" w:sz="0" w:space="0" w:color="auto"/>
            <w:right w:val="none" w:sz="0" w:space="0" w:color="auto"/>
          </w:divBdr>
        </w:div>
        <w:div w:id="1811364081">
          <w:marLeft w:val="0"/>
          <w:marRight w:val="0"/>
          <w:marTop w:val="0"/>
          <w:marBottom w:val="0"/>
          <w:divBdr>
            <w:top w:val="none" w:sz="0" w:space="0" w:color="auto"/>
            <w:left w:val="none" w:sz="0" w:space="0" w:color="auto"/>
            <w:bottom w:val="none" w:sz="0" w:space="0" w:color="auto"/>
            <w:right w:val="none" w:sz="0" w:space="0" w:color="auto"/>
          </w:divBdr>
        </w:div>
        <w:div w:id="282731955">
          <w:marLeft w:val="0"/>
          <w:marRight w:val="0"/>
          <w:marTop w:val="0"/>
          <w:marBottom w:val="0"/>
          <w:divBdr>
            <w:top w:val="none" w:sz="0" w:space="0" w:color="auto"/>
            <w:left w:val="none" w:sz="0" w:space="0" w:color="auto"/>
            <w:bottom w:val="none" w:sz="0" w:space="0" w:color="auto"/>
            <w:right w:val="none" w:sz="0" w:space="0" w:color="auto"/>
          </w:divBdr>
        </w:div>
        <w:div w:id="1565481131">
          <w:marLeft w:val="0"/>
          <w:marRight w:val="0"/>
          <w:marTop w:val="0"/>
          <w:marBottom w:val="0"/>
          <w:divBdr>
            <w:top w:val="none" w:sz="0" w:space="0" w:color="auto"/>
            <w:left w:val="none" w:sz="0" w:space="0" w:color="auto"/>
            <w:bottom w:val="none" w:sz="0" w:space="0" w:color="auto"/>
            <w:right w:val="none" w:sz="0" w:space="0" w:color="auto"/>
          </w:divBdr>
        </w:div>
        <w:div w:id="1111171752">
          <w:marLeft w:val="0"/>
          <w:marRight w:val="0"/>
          <w:marTop w:val="0"/>
          <w:marBottom w:val="0"/>
          <w:divBdr>
            <w:top w:val="none" w:sz="0" w:space="0" w:color="auto"/>
            <w:left w:val="none" w:sz="0" w:space="0" w:color="auto"/>
            <w:bottom w:val="none" w:sz="0" w:space="0" w:color="auto"/>
            <w:right w:val="none" w:sz="0" w:space="0" w:color="auto"/>
          </w:divBdr>
        </w:div>
        <w:div w:id="22665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558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contabilidad2</dc:creator>
  <cp:keywords/>
  <dc:description/>
  <cp:lastModifiedBy>contabilidad2</cp:lastModifiedBy>
  <cp:revision>3</cp:revision>
  <dcterms:created xsi:type="dcterms:W3CDTF">2019-01-11T23:12:00Z</dcterms:created>
  <dcterms:modified xsi:type="dcterms:W3CDTF">2019-01-22T23:54:00Z</dcterms:modified>
</cp:coreProperties>
</file>